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龙岩市第一医院无创产前基因测序仪及配套设备采购项目(三次)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CGXM-2025-350801-00736[2025]00385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[350801]FJXW[GK]2025006-2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龙岩市第一医院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福建省新卫招标代理有限公司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福建省新卫招标代理有限公司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龙岩市第一医院无创产前基因测序仪及配套设备采购项目(三次)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CGXM-2025-350801-00736[2025]00385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[350801]FJXW[GK]2025006-2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否</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按照财政部《关于印发节能产品政府采购品目清单的通知》（财库〔2019〕19号）或最新公布的品目清单执行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按照财政部《关于印发环境标志产品政府采购品目清单的通知》（财库〔2019〕18号）或最新公布的品目清单执行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招标文件规定的其他资格证明文件（若有）</w:t>
            </w:r>
          </w:p>
        </w:tc>
        <w:tc>
          <w:tcPr>
            <w:tcW w:type="dxa" w:w="4614"/>
          </w:tcPr>
          <w:p>
            <w:pPr>
              <w:pStyle w:val="null3"/>
              <w:jc w:val="left"/>
            </w:pPr>
            <w:r>
              <w:rPr>
                <w:rFonts w:ascii="仿宋_GB2312" w:hAnsi="仿宋_GB2312" w:cs="仿宋_GB2312" w:eastAsia="仿宋_GB2312"/>
              </w:rPr>
              <w:t>若属于医疗器械管理范畴，按照国家《医疗器械监督管理条例》，应符合以下标准。供应商为制造商的，须提供《医疗器械生产企业许可证》（进口产品除外）；供应商为经销商的，若属于三类医疗器械，须提供《医疗器械经营企业许可证》，若属于二类医疗器械，也可提供《二类医疗器械的经营备案凭证》，若属于一类医疗器械，则无须提供此项。</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龙岩市第一医院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龙岩市新罗区九一北路105号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倪晓雷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0597-2205034</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福建省新卫招标代理有限公司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福州市鼓楼区西二环中路301号东南医药大楼6层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350025</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卓敏灵、刘鼎埕、郑道铖</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0591-87807330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福建省新卫招标代理有限公司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437,200.00</w:t>
      </w:r>
    </w:p>
    <w:p>
      <w:pPr>
        <w:pStyle w:val="null3"/>
        <w:jc w:val="left"/>
      </w:pPr>
      <w:r>
        <w:rPr>
          <w:rFonts w:ascii="仿宋_GB2312" w:hAnsi="仿宋_GB2312" w:cs="仿宋_GB2312" w:eastAsia="仿宋_GB2312"/>
        </w:rPr>
        <w:t>采购包最高限价（元）: 437,200.00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无创产前基因测序仪及配套设备</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437,200.00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无创产前基因测序仪及配套设备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无创产前基因测序仪及配套设备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无创产前基因测序仪及配套设备</w:t>
            </w:r>
          </w:p>
        </w:tc>
        <w:tc>
          <w:tcPr>
            <w:tcW w:type="dxa" w:w="2076"/>
          </w:tcPr>
          <w:p>
            <w:pPr>
              <w:pStyle w:val="null3"/>
              <w:jc w:val="left"/>
            </w:pPr>
            <w:r>
              <w:rPr>
                <w:rFonts w:ascii="仿宋_GB2312" w:hAnsi="仿宋_GB2312" w:cs="仿宋_GB2312" w:eastAsia="仿宋_GB2312"/>
              </w:rPr>
              <w:t>无创产前基因测序仪及配套设备</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437,200.00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综合得分相同的，按投标报价由低到高顺序排列；综合得分且投标报价相同的，投标文件满足招标文件全部实质性要求，且按照评审因素的量化指标评审得分(技术评分部分)最高的投标人为排名第一的中标候选人；若以上全部相同则随机抽取。</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福建省新卫招标代理有限公司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龙岩市采购监督管理办公室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中标通知书规定的中标金额作为收费的计算基数。(2)招标代理服务收费的标准：中标金额100（万元）以内的，按1.5%计算；整体下浮80%。中标人在领取中标通知书前，以转账或汇款方式提交，请投标人报价时予以充分考虑。代理服务费缴交账户信息：账户名：福建省新卫招标代理有限公司；账号：7736 0188 0000 28873；开户行：中国光大银行福州南门支行 。</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A.解释权：采购代理机构拥有本项目招标文件的最终解释权。 B.所有资格证明文件应是最新、有效、完整、清晰的。有年检要求的应符合规定。有变更事宜的，变更文件应附齐全。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 C.未实质性响应招标文件条款（“投标无效”条款）：①投标有效期不符合投标人须知前附表中表1第5项号规定的；②出现第二章投标人须知前附表中表1第12项号中规定的情形的；③出现第二章投标人须知前附表中表2投标无效规定的；④出现第三章投标人须知第9、10.6、10.8、10.9、10.12条款中投标无效规定的情形；⑤出现第四章“一、资格审查”与“二、评标”中投标无效规定的情形（资格及符合性审查不合格的情形）；⑥出现第五章招标内容及要求中投标无效规定或“★”标示的内容为负偏离的的情形；⑦出现第七章投标文件格式中投标无效规定的情形。⑧出现招标文件中其他实质性条款规定的情形。 D.质疑受理的其它要求： ①质疑人为法人或其他组织的，质疑函需逐页加盖质疑人单位公章；若本项目接受自然人投标且质疑人为自然人的，质疑函需质疑人本人逐页签名。否则质疑将不予受理。 ②在法定质疑期内质疑人须一次性提出针对同一采购程序环节的质疑，二（多）次质疑不予受理。③质疑人递交质疑函时还应出具质疑人已在福建省政府采购网上公开信息系统上已对本项目进行报名的证明文件（体现报名时间），否则将不被认定为潜在投标人，其质疑将不予受理。【招标文件首次下载之日为质疑人在福建省政府采购网上公开信息系统成功报名之日。】E. 投标人对本项目招标文件有任何疑议或不认同之处，需在法定时间内按规定提出质疑，否则视为投标人接受招标文件的规定。F.特别提醒：根据《福建省财政厅关于运用政府采购政策促进中小企业发展的通知》要求，享受缓缴或免缴社保、税款的企业，无法提供相关社保、税收缴纳证明材料的，提供有关情况说明视同社保、税收缴纳证明材料提交完整。</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通过远程参与开标流程的投标人，投标人可远程线上解密（相关操作手册可查看福建省政府采购网首页操作指南），现场参与开标流程的投标人请携带CA证书到开标现场进行解密，选择携带CA证书并由代理机构进行解密的应在投标截止时间前到达开标现场，否则不予接收。投标人选择远程线上解密的，无须将CA证书送至开标地点。b.投标人不到开标现场的，请在开标时自行登录采购系统，线上参与开标流程，并按规定在相应时段对投标文件进行远程解密、远程签章。c.投标人应确保自身设施、设备、网络环境状况良好，在操作过程中因投标人自身原因造成无法正常观看开标流程、远程解密或签章的，后果由投标人自行承担。d.在规定的时间内正确提交电子投标文件的投标人在开标时将由系统判定签到情况，投标人应在远程解密开启后在规定时间内使用CA数字证书进行投标文件的解密操作，逾期未解密的视为自行放弃投标。e.开标结束后，投标人应当对开标结果进行签章，并在远程签章开放后的规定时间内完成，逾期未签章的视为认同开标结果。f.远程解密及远程签章的开放起始时间均在开标过程中临时开启，本项目开标过程中解密的操作时限为30分钟，远程签章操作时限为10分钟，请投标人务必密切关注实时开标流程，并根据流程在系统内按时操作，否则产生的后果由投标人自行承担。</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福建省新卫招标代理有限公司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福建省新卫招标代理有限公司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福建省新卫招标代理有限公司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福建省新卫招标代理有限公司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福建省新卫招标代理有限公司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福建省新卫招标代理有限公司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福建省新卫招标代理有限公司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福建省新卫招标代理有限公司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福建省新卫招标代理有限公司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福建省新卫招标代理有限公司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福建省新卫招标代理有限公司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福建省新卫招标代理有限公司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福建省新卫招标代理有限公司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福建省新卫招标代理有限公司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福建省新卫招标代理有限公司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福建省新卫招标代理有限公司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福建省新卫招标代理有限公司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福建省新卫招标代理有限公司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福建省新卫招标代理有限公司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福建省新卫招标代理有限公司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福建省新卫招标代理有限公司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福建省新卫招标代理有限公司</w:t>
      </w:r>
      <w:r>
        <w:rPr>
          <w:rFonts w:ascii="仿宋_GB2312" w:hAnsi="仿宋_GB2312" w:cs="仿宋_GB2312" w:eastAsia="仿宋_GB2312"/>
        </w:rPr>
        <w:t xml:space="preserve"> 提出询问， </w:t>
      </w:r>
      <w:r>
        <w:rPr>
          <w:rFonts w:ascii="仿宋_GB2312" w:hAnsi="仿宋_GB2312" w:cs="仿宋_GB2312" w:eastAsia="仿宋_GB2312"/>
        </w:rPr>
        <w:t>福建省新卫招标代理有限公司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福建省新卫招标代理有限公司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福建省新卫招标代理有限公司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由福建省新卫招标代理有限公司派出的工作人员至少1人，</w:t>
      </w:r>
      <w:r>
        <w:rPr>
          <w:rFonts w:ascii="仿宋_GB2312" w:hAnsi="仿宋_GB2312" w:cs="仿宋_GB2312" w:eastAsia="仿宋_GB2312"/>
        </w:rPr>
        <w:t>其余1人可为采购人代表或福建省新卫招标代理有限公司的工作人员。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招标文件规定的其他资格证明文件（若有）</w:t>
            </w:r>
          </w:p>
        </w:tc>
        <w:tc>
          <w:tcPr>
            <w:tcW w:type="dxa" w:w="4614"/>
          </w:tcPr>
          <w:p>
            <w:pPr>
              <w:pStyle w:val="null3"/>
              <w:jc w:val="left"/>
            </w:pPr>
            <w:r>
              <w:rPr>
                <w:rFonts w:ascii="仿宋_GB2312" w:hAnsi="仿宋_GB2312" w:cs="仿宋_GB2312" w:eastAsia="仿宋_GB2312"/>
              </w:rPr>
              <w:t>若属于医疗器械管理范畴，按照国家《医疗器械监督管理条例》，应符合以下标准。供应商为制造商的，须提供《医疗器械生产企业许可证》（进口产品除外）；供应商为经销商的，若属于三类医疗器械，须提供《医疗器械经营企业许可证》，若属于二类医疗器械，也可提供《二类医疗器械的经营备案凭证》，若属于一类医疗器械，则无须提供此项。</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福建省新卫招标代理有限公司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福建省新卫招标代理有限公司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福建省新卫招标代理有限公司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福建省新卫招标代理有限公司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福建省新卫招标代理有限公司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(1)未按照招标文件规定要求进行编制、签署、盖章的；(2)投标有效期不满足招标文件要求的；(3)投标内容与招标内容及要求有重大偏离或保留的；(4)投标文件中提供虚假或失实资料的； (5)明显不符合技术规格、技术标准的要求；(6)投标人附有采购人不能接受的条件；(7)一个投标人只能提交一个投标文件；(8)投标文件组成不符合招标文件要求的；(9)投标文件的资格及资信证明部分、技术商务部分中出现报价部分的全部或部分的投标报价信息（或组成资料）；(10)属于招标文件规定评标委员会应否决其投标的情形，无效投标条款的；（11）不符合招标文件中规定的其它实质性要求的条款。 其他实质性要求的条款可由评标委员会根据招标文件要求一致讨论确定。评标委员会决定投标的响应性只根据投标文件本身的内容，而不寻求其他的外部证据。</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(1)未按照招标文件规定要求进行编制、签署、盖章的；(2)投标有效期不满足招标文件要求的；(3)投标内容与招标内容及要求有重大偏离或保留的；(4)投标文件中提供虚假或失实资料的； (5)投标人附有采购人不能接受的条件；(6)投标人的交付地点、交付时间、支付方式、供货方式、售后服务、质保期等商务条件不符合招标文件要求，或不接受招标文件规定的合同款支付方式；(7)投标文件载明的货物包装方式、检验标准和方法等不符合招标文件要求或未载明货物包装方式、检验标准和方法的；(8)一个投标人只能提交一个投标文件；(9)投标文件组成不符合招标文件要求的；(10)投标文件的商务部分中出现报价部分的全部或部分的投标报价信息（或组成资料）；(11)属于招标文件规定评标委员会应否决其投标的情形，无效投标条款的；(12)不符合招标文件中规定的其它实质性要求的条款。 其他实质性要求的条款可由评标委员会根据招标文件要求一致讨论确定。评标委员会决定投标的响应性只根据投标文件本身的内容，而不寻求其他的外部证据。</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投标报价超出最高限价或预算金额或不符合招标文件报价要求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综合得分相同的，按投标报价由低到高顺序排列；综合得分且投标报价相同的，投标文件满足招标文件全部实质性要求，且按照评审因素的量化指标评审得分(技术评分部分)最高的投标人为排名第一的中标候选人；若以上全部相同则随机抽取。</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福建省新卫招标代理有限公司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符合《政府采购促进中小企业发展管理办法》（财库﹝2020﹞46号）及《关于进一步加大政府采购支持中小企业力度的通知》（财库〔2022〕19号）规定的小微企业报价给予价格扣除【货物和服务项目为15%；对于联合协议或者分包意向协议约定小微企业的合同份额占到合同总金额40%以上的，对联合体或者大中型企业的报价扣除比例为 5%】，用扣除后的价格参加评审。投标人须提供合格的中小企业声明函（格式详见第七章），否则不予价格扣除。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的价格扣除，但必须提供由省级以上监狱管理局、戒毒管理局（含新疆生产建设兵团）出具的属于监狱企业的证明文件，否则评审时不予价格扣除优惠。 3、根据财政部、民政部、中国残联文件（财库[2017]141号）及福建省财政厅、福建省民政厅、福建省残疾人联合会联合发布的《关于进一步落实政府采购支持残疾人就业政策的通知》、福建省财政厅《关于残疾人福利性单位参加政府 采购活动价格扣除的通知》，凡符合上述文件要求条件的残疾人福利性单位在参加政府采购活动时视同小型、微型企业，享受预留份额、评审中价格扣除等促进中小企业发展的政府采购政策。此次若有参加投标的对残疾人福利性单位报价部分给予15%的扣除（对残疾人福利性单位与其他组织组成联合体参与政府采购活动的，残疾人福利性单位的协议合同金额占总合同金额40%以上的，给予联合体合同金额5%的价格扣除），但必须提供《残疾人福利性单位声明函》（格式详见第七章），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具体详见招标文件第三章、第七章规定，上述规定与政府采购相关法律、法规、制度等有冲突的，以现行法律、法规、制度等执行。注：享受扶持政策获得政府采购合同的，小微企业不得将合同分包给大中型企业，中型企业不得将合同分包给大型企业。经采购人确认，本采购包非专门面向中小企业预留采购份额。本采购包为货物类采购项目，采购标的对应的中小企业划分标准所属行业为工业。</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供应商应在投标文件中对优先采购产品和非优先采购产品进行分项报价，非优先采购产品的报价不得享受给予节能产品、环境标志产品的价格扣除优惠。2、同一优先采购产品中各认证证书不重复计算价格扣除。强制类节能产品不进行价格扣除。注：对于同时属于节能、环境标志的产品，应当优先于只获得其中一项认证的产品。供应商在投标时必须对属于节能、环境标志产品分项报价，并提供产品的认证证书复印件附在报价部分(电子证明资料应上传在对应评分模块)且加盖供应商公章。未单独分项报价或未提供产品的证明资料的不给予价格扣除。投标产品属于节能、环境标志产品的，可享受相关的鼓励优惠政策；若节能、环境标志产品仅是构成投标产品的部件、组件或零件的，则该投标产品不享受鼓励优惠政策。资格审查此项响应性只根据投标文件本身的内容，而不寻求其他的外部证据。(本文件中其他有关附加部分评审中节能、环境标志产品描述情况与此处不一致，以此处为准)</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60.00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五章招标内容及要求中“二、技术和服务要求”逐项响应情况进行评分（需提供技术和服务要求响应表），全部满足招标文件第五章招标内容及要求中“二、技术和服务要求”的得60分；标注“★”（共计3项） 为实质性条款，不允许负偏离；未标注符号的评审指标项的技术参数（共计15项），每负偏离 一项扣4分，扣完为止。注：①招标文件中技术指标若有要求投标人提供相应佐证材料的，投标人未 提供相应佐证材料或者投标人的响应承诺与其佐证材料不一致的，评标委员会将以不利于投标人的内容为准进行评审（负偏离）。</w:t>
            </w:r>
          </w:p>
        </w:tc>
      </w:tr>
      <w:tr>
        <w:tc>
          <w:tcPr>
            <w:tcW w:type="dxa" w:w="3322"/>
          </w:tcPr>
          <w:p>
            <w:pPr>
              <w:pStyle w:val="null3"/>
              <w:jc w:val="both"/>
            </w:pPr>
            <w:r>
              <w:rPr>
                <w:rFonts w:ascii="仿宋_GB2312" w:hAnsi="仿宋_GB2312" w:cs="仿宋_GB2312" w:eastAsia="仿宋_GB2312"/>
              </w:rPr>
              <w:t>2、质量保障及供货保障</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产品质量保障及供货保障(包括保障流程、保障内容、保障方式等)由评委进行评分：方案包含的要点齐全无缺漏项、内容与要点相符、内容完善且能够适用于本项目的得2分；方案所包含的要点齐全、内容与要点相符，但仅有纲要内容简略，未展开阐述的得1.5分；方案所包含的要点有缺漏或内容存在错误的得1分，未提供的不得分。</w:t>
            </w:r>
          </w:p>
        </w:tc>
      </w:tr>
    </w:tbl>
    <w:p>
      <w:pPr>
        <w:pStyle w:val="null3"/>
        <w:jc w:val="both"/>
      </w:pPr>
      <w:r>
        <w:rPr>
          <w:rFonts w:ascii="仿宋_GB2312" w:hAnsi="仿宋_GB2312" w:cs="仿宋_GB2312" w:eastAsia="仿宋_GB2312"/>
        </w:rPr>
        <w:t>商务项（F3×A3）满分为8.0000分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自身完成的业绩情况，提供2022年1月1日起至本项目投标截止时间止(日期以验收报告为准)同类产品项目业绩情况由评委进行评分：每提供一份业绩得1分，满分3分。投标人应如实提供该业绩项目的中标公告（提供相关网站中标公告的下载网页并注明网址）、中标通知书复印件、采购合同文本复印件，以及能够证明该业绩项目已经采购人验收合格的相关证明文件复印件。未提供完整证明文件复印件的不得分；评标过程中如发现填报不实，本项不得分。</w:t>
            </w:r>
          </w:p>
        </w:tc>
      </w:tr>
      <w:tr>
        <w:tc>
          <w:tcPr>
            <w:tcW w:type="dxa" w:w="3322"/>
          </w:tcPr>
          <w:p>
            <w:pPr>
              <w:pStyle w:val="null3"/>
              <w:jc w:val="left"/>
            </w:pPr>
            <w:r>
              <w:rPr>
                <w:rFonts w:ascii="仿宋_GB2312" w:hAnsi="仿宋_GB2312" w:cs="仿宋_GB2312" w:eastAsia="仿宋_GB2312"/>
              </w:rPr>
              <w:t>2、售后服务响应方案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提供的售后服务响应方案（包括具体的售后服务内容、售后服务机构设置的便捷性、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2.5分；方案所包含的要点有缺漏或内容存在错误的得2分，未提供的不得分。</w:t>
            </w:r>
          </w:p>
        </w:tc>
      </w:tr>
      <w:tr>
        <w:tc>
          <w:tcPr>
            <w:tcW w:type="dxa" w:w="3322"/>
          </w:tcPr>
          <w:p>
            <w:pPr>
              <w:pStyle w:val="null3"/>
              <w:jc w:val="left"/>
            </w:pPr>
            <w:r>
              <w:rPr>
                <w:rFonts w:ascii="仿宋_GB2312" w:hAnsi="仿宋_GB2312" w:cs="仿宋_GB2312" w:eastAsia="仿宋_GB2312"/>
              </w:rPr>
              <w:t>3、技术培训</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技术培训方案的是否完善、是否合理由评委进行评分，技术培训方案包含但不限于：①培训计划；②培训范围；③实施及针对性措施；④保证培训成效的措施。方案包含的要点齐全无缺漏项、内容与要点相符、内容完善且能够适用于本项目的得2分；方案所包含的要点齐全、内容与要点相符，但仅有纲要内容简略，未展开阐述的得1.5分；方案所包含的要点有缺漏或内容存在错误的得1分，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b/>
        </w:rPr>
        <w:t>本项目为龙岩市第一医院无创产前基因测序仪及配套设备采购项目</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该系统主要用于无创产前检测（</w:t>
      </w:r>
      <w:r>
        <w:rPr>
          <w:rFonts w:ascii="仿宋_GB2312" w:hAnsi="仿宋_GB2312" w:cs="仿宋_GB2312" w:eastAsia="仿宋_GB2312"/>
          <w:sz w:val="24"/>
        </w:rPr>
        <w:t>NIPT</w:t>
      </w:r>
      <w:r>
        <w:rPr>
          <w:rFonts w:ascii="仿宋_GB2312" w:hAnsi="仿宋_GB2312" w:cs="仿宋_GB2312" w:eastAsia="仿宋_GB2312"/>
          <w:sz w:val="24"/>
        </w:rPr>
        <w:t>）。</w:t>
      </w:r>
    </w:p>
    <w:p>
      <w:pPr>
        <w:pStyle w:val="null3"/>
        <w:spacing w:before="105" w:after="105"/>
        <w:jc w:val="both"/>
      </w:pPr>
      <w:r>
        <w:rPr>
          <w:rFonts w:ascii="仿宋_GB2312" w:hAnsi="仿宋_GB2312" w:cs="仿宋_GB2312" w:eastAsia="仿宋_GB2312"/>
          <w:sz w:val="24"/>
        </w:rPr>
        <w:t>2.</w:t>
      </w:r>
      <w:r>
        <w:rPr>
          <w:rFonts w:ascii="仿宋_GB2312" w:hAnsi="仿宋_GB2312" w:cs="仿宋_GB2312" w:eastAsia="仿宋_GB2312"/>
          <w:sz w:val="24"/>
        </w:rPr>
        <w:t>支持免费扩展升级版无创产前检测（</w:t>
      </w:r>
      <w:r>
        <w:rPr>
          <w:rFonts w:ascii="仿宋_GB2312" w:hAnsi="仿宋_GB2312" w:cs="仿宋_GB2312" w:eastAsia="仿宋_GB2312"/>
          <w:sz w:val="24"/>
        </w:rPr>
        <w:t>NIPT-plus</w:t>
      </w:r>
      <w:r>
        <w:rPr>
          <w:rFonts w:ascii="仿宋_GB2312" w:hAnsi="仿宋_GB2312" w:cs="仿宋_GB2312" w:eastAsia="仿宋_GB2312"/>
          <w:sz w:val="24"/>
        </w:rPr>
        <w:t>）、染色体拷贝数变异检测（</w:t>
      </w:r>
      <w:r>
        <w:rPr>
          <w:rFonts w:ascii="仿宋_GB2312" w:hAnsi="仿宋_GB2312" w:cs="仿宋_GB2312" w:eastAsia="仿宋_GB2312"/>
          <w:sz w:val="24"/>
        </w:rPr>
        <w:t>CNV-Seq</w:t>
      </w:r>
      <w:r>
        <w:rPr>
          <w:rFonts w:ascii="仿宋_GB2312" w:hAnsi="仿宋_GB2312" w:cs="仿宋_GB2312" w:eastAsia="仿宋_GB2312"/>
          <w:sz w:val="24"/>
        </w:rPr>
        <w:t>）及病原微生物等，以便后续能拓展应用。</w:t>
      </w:r>
    </w:p>
    <w:p>
      <w:pPr>
        <w:pStyle w:val="null3"/>
        <w:spacing w:before="105" w:after="105"/>
        <w:ind w:left="240"/>
        <w:jc w:val="both"/>
      </w:pPr>
      <w:r>
        <w:rPr>
          <w:rFonts w:ascii="仿宋_GB2312" w:hAnsi="仿宋_GB2312" w:cs="仿宋_GB2312" w:eastAsia="仿宋_GB2312"/>
          <w:sz w:val="24"/>
        </w:rPr>
        <w:t>3.</w:t>
      </w:r>
      <w:r>
        <w:rPr>
          <w:rFonts w:ascii="仿宋_GB2312" w:hAnsi="仿宋_GB2312" w:cs="仿宋_GB2312" w:eastAsia="仿宋_GB2312"/>
          <w:sz w:val="24"/>
        </w:rPr>
        <w:t>支持不同样品并行检测。可使用的样本包括但不限于外周血、新鲜组织、脐血、羊水、绒毛、</w:t>
      </w:r>
      <w:r>
        <w:rPr>
          <w:rFonts w:ascii="仿宋_GB2312" w:hAnsi="仿宋_GB2312" w:cs="仿宋_GB2312" w:eastAsia="仿宋_GB2312"/>
          <w:sz w:val="24"/>
        </w:rPr>
        <w:t>DNA</w:t>
      </w:r>
      <w:r>
        <w:rPr>
          <w:rFonts w:ascii="仿宋_GB2312" w:hAnsi="仿宋_GB2312" w:cs="仿宋_GB2312" w:eastAsia="仿宋_GB2312"/>
          <w:sz w:val="24"/>
        </w:rPr>
        <w:t>等。</w:t>
      </w:r>
    </w:p>
    <w:p>
      <w:pPr>
        <w:pStyle w:val="null3"/>
        <w:spacing w:before="105" w:after="105"/>
        <w:ind w:left="240"/>
        <w:jc w:val="both"/>
      </w:pPr>
      <w:r>
        <w:rPr>
          <w:rFonts w:ascii="仿宋_GB2312" w:hAnsi="仿宋_GB2312" w:cs="仿宋_GB2312" w:eastAsia="仿宋_GB2312"/>
          <w:sz w:val="24"/>
        </w:rPr>
        <w:t>4.</w:t>
      </w:r>
      <w:r>
        <w:rPr>
          <w:rFonts w:ascii="仿宋_GB2312" w:hAnsi="仿宋_GB2312" w:cs="仿宋_GB2312" w:eastAsia="仿宋_GB2312"/>
          <w:sz w:val="24"/>
        </w:rPr>
        <w:t>提供与测序仪配套试剂，注册证至少包含</w:t>
      </w:r>
      <w:r>
        <w:rPr>
          <w:rFonts w:ascii="仿宋_GB2312" w:hAnsi="仿宋_GB2312" w:cs="仿宋_GB2312" w:eastAsia="仿宋_GB2312"/>
          <w:sz w:val="24"/>
        </w:rPr>
        <w:t>T13</w:t>
      </w:r>
      <w:r>
        <w:rPr>
          <w:rFonts w:ascii="仿宋_GB2312" w:hAnsi="仿宋_GB2312" w:cs="仿宋_GB2312" w:eastAsia="仿宋_GB2312"/>
          <w:sz w:val="24"/>
        </w:rPr>
        <w:t>、</w:t>
      </w:r>
      <w:r>
        <w:rPr>
          <w:rFonts w:ascii="仿宋_GB2312" w:hAnsi="仿宋_GB2312" w:cs="仿宋_GB2312" w:eastAsia="仿宋_GB2312"/>
          <w:sz w:val="24"/>
        </w:rPr>
        <w:t>T18</w:t>
      </w:r>
      <w:r>
        <w:rPr>
          <w:rFonts w:ascii="仿宋_GB2312" w:hAnsi="仿宋_GB2312" w:cs="仿宋_GB2312" w:eastAsia="仿宋_GB2312"/>
          <w:sz w:val="24"/>
        </w:rPr>
        <w:t>、</w:t>
      </w:r>
      <w:r>
        <w:rPr>
          <w:rFonts w:ascii="仿宋_GB2312" w:hAnsi="仿宋_GB2312" w:cs="仿宋_GB2312" w:eastAsia="仿宋_GB2312"/>
          <w:sz w:val="24"/>
        </w:rPr>
        <w:t>T21</w:t>
      </w:r>
      <w:r>
        <w:rPr>
          <w:rFonts w:ascii="仿宋_GB2312" w:hAnsi="仿宋_GB2312" w:cs="仿宋_GB2312" w:eastAsia="仿宋_GB2312"/>
          <w:sz w:val="24"/>
        </w:rPr>
        <w:t>检测。</w:t>
      </w:r>
      <w:r>
        <w:rPr>
          <w:rFonts w:ascii="仿宋_GB2312" w:hAnsi="仿宋_GB2312" w:cs="仿宋_GB2312" w:eastAsia="仿宋_GB2312"/>
          <w:sz w:val="24"/>
          <w:b/>
        </w:rPr>
        <w:t>（提供注册证佐证材料）</w:t>
      </w:r>
    </w:p>
    <w:p>
      <w:pPr>
        <w:pStyle w:val="null3"/>
        <w:spacing w:before="105" w:after="105"/>
        <w:jc w:val="both"/>
      </w:pPr>
      <w:r>
        <w:rPr>
          <w:rFonts w:ascii="仿宋_GB2312" w:hAnsi="仿宋_GB2312" w:cs="仿宋_GB2312" w:eastAsia="仿宋_GB2312"/>
          <w:sz w:val="24"/>
        </w:rPr>
        <w:t>5.</w:t>
      </w:r>
      <w:r>
        <w:rPr>
          <w:rFonts w:ascii="仿宋_GB2312" w:hAnsi="仿宋_GB2312" w:cs="仿宋_GB2312" w:eastAsia="仿宋_GB2312"/>
          <w:sz w:val="24"/>
        </w:rPr>
        <w:t>自动本地化完成信息分析，分析结束后直接输出检测报告。</w:t>
      </w:r>
    </w:p>
    <w:p>
      <w:pPr>
        <w:pStyle w:val="null3"/>
        <w:spacing w:before="105" w:after="10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测序技术：可逆末端终止测序法或联合探针锚定聚合测序法。</w:t>
      </w:r>
    </w:p>
    <w:p>
      <w:pPr>
        <w:pStyle w:val="null3"/>
        <w:spacing w:before="105" w:after="105"/>
        <w:jc w:val="both"/>
      </w:pPr>
      <w:r>
        <w:rPr>
          <w:rFonts w:ascii="仿宋_GB2312" w:hAnsi="仿宋_GB2312" w:cs="仿宋_GB2312" w:eastAsia="仿宋_GB2312"/>
          <w:sz w:val="24"/>
        </w:rPr>
        <w:t>7.</w:t>
      </w:r>
      <w:r>
        <w:rPr>
          <w:rFonts w:ascii="仿宋_GB2312" w:hAnsi="仿宋_GB2312" w:cs="仿宋_GB2312" w:eastAsia="仿宋_GB2312"/>
          <w:sz w:val="24"/>
        </w:rPr>
        <w:t>测序数据通量：单次运行可产出</w:t>
      </w:r>
      <w:r>
        <w:rPr>
          <w:rFonts w:ascii="仿宋_GB2312" w:hAnsi="仿宋_GB2312" w:cs="仿宋_GB2312" w:eastAsia="仿宋_GB2312"/>
          <w:sz w:val="24"/>
        </w:rPr>
        <w:t>≥</w:t>
      </w:r>
      <w:r>
        <w:rPr>
          <w:rFonts w:ascii="仿宋_GB2312" w:hAnsi="仿宋_GB2312" w:cs="仿宋_GB2312" w:eastAsia="仿宋_GB2312"/>
          <w:sz w:val="24"/>
        </w:rPr>
        <w:t>120G</w:t>
      </w:r>
      <w:r>
        <w:rPr>
          <w:rFonts w:ascii="仿宋_GB2312" w:hAnsi="仿宋_GB2312" w:cs="仿宋_GB2312" w:eastAsia="仿宋_GB2312"/>
          <w:sz w:val="24"/>
        </w:rPr>
        <w:t>碱基。</w:t>
      </w:r>
    </w:p>
    <w:p>
      <w:pPr>
        <w:pStyle w:val="null3"/>
        <w:spacing w:before="105" w:after="105"/>
        <w:jc w:val="both"/>
      </w:pPr>
      <w:r>
        <w:rPr>
          <w:rFonts w:ascii="仿宋_GB2312" w:hAnsi="仿宋_GB2312" w:cs="仿宋_GB2312" w:eastAsia="仿宋_GB2312"/>
          <w:sz w:val="24"/>
        </w:rPr>
        <w:t>8.</w:t>
      </w:r>
      <w:r>
        <w:rPr>
          <w:rFonts w:ascii="仿宋_GB2312" w:hAnsi="仿宋_GB2312" w:cs="仿宋_GB2312" w:eastAsia="仿宋_GB2312"/>
          <w:sz w:val="24"/>
        </w:rPr>
        <w:t>数据质量：达到</w:t>
      </w:r>
      <w:r>
        <w:rPr>
          <w:rFonts w:ascii="仿宋_GB2312" w:hAnsi="仿宋_GB2312" w:cs="仿宋_GB2312" w:eastAsia="仿宋_GB2312"/>
          <w:sz w:val="24"/>
        </w:rPr>
        <w:t>Q30</w:t>
      </w:r>
      <w:r>
        <w:rPr>
          <w:rFonts w:ascii="仿宋_GB2312" w:hAnsi="仿宋_GB2312" w:cs="仿宋_GB2312" w:eastAsia="仿宋_GB2312"/>
          <w:sz w:val="24"/>
        </w:rPr>
        <w:t>为测序质量标准（即每个碱基的准确度为</w:t>
      </w:r>
      <w:r>
        <w:rPr>
          <w:rFonts w:ascii="仿宋_GB2312" w:hAnsi="仿宋_GB2312" w:cs="仿宋_GB2312" w:eastAsia="仿宋_GB2312"/>
          <w:sz w:val="24"/>
        </w:rPr>
        <w:t>99.9%</w:t>
      </w:r>
      <w:r>
        <w:rPr>
          <w:rFonts w:ascii="仿宋_GB2312" w:hAnsi="仿宋_GB2312" w:cs="仿宋_GB2312" w:eastAsia="仿宋_GB2312"/>
          <w:sz w:val="24"/>
        </w:rPr>
        <w:t>），</w:t>
      </w:r>
      <w:r>
        <w:rPr>
          <w:rFonts w:ascii="仿宋_GB2312" w:hAnsi="仿宋_GB2312" w:cs="仿宋_GB2312" w:eastAsia="仿宋_GB2312"/>
          <w:sz w:val="24"/>
        </w:rPr>
        <w:t>NIPT</w:t>
      </w:r>
      <w:r>
        <w:rPr>
          <w:rFonts w:ascii="仿宋_GB2312" w:hAnsi="仿宋_GB2312" w:cs="仿宋_GB2312" w:eastAsia="仿宋_GB2312"/>
          <w:sz w:val="24"/>
        </w:rPr>
        <w:t>模式下，</w:t>
      </w:r>
      <w:r>
        <w:rPr>
          <w:rFonts w:ascii="仿宋_GB2312" w:hAnsi="仿宋_GB2312" w:cs="仿宋_GB2312" w:eastAsia="仿宋_GB2312"/>
          <w:sz w:val="24"/>
        </w:rPr>
        <w:t>85%</w:t>
      </w:r>
      <w:r>
        <w:rPr>
          <w:rFonts w:ascii="仿宋_GB2312" w:hAnsi="仿宋_GB2312" w:cs="仿宋_GB2312" w:eastAsia="仿宋_GB2312"/>
          <w:sz w:val="24"/>
        </w:rPr>
        <w:t>以上的碱基比例可达到</w:t>
      </w:r>
      <w:r>
        <w:rPr>
          <w:rFonts w:ascii="仿宋_GB2312" w:hAnsi="仿宋_GB2312" w:cs="仿宋_GB2312" w:eastAsia="仿宋_GB2312"/>
          <w:sz w:val="24"/>
        </w:rPr>
        <w:t>Q30</w:t>
      </w:r>
      <w:r>
        <w:rPr>
          <w:rFonts w:ascii="仿宋_GB2312" w:hAnsi="仿宋_GB2312" w:cs="仿宋_GB2312" w:eastAsia="仿宋_GB2312"/>
          <w:sz w:val="24"/>
        </w:rPr>
        <w:t>。</w:t>
      </w:r>
    </w:p>
    <w:p>
      <w:pPr>
        <w:pStyle w:val="null3"/>
        <w:spacing w:before="105" w:after="105"/>
        <w:jc w:val="both"/>
      </w:pPr>
      <w:r>
        <w:rPr>
          <w:rFonts w:ascii="仿宋_GB2312" w:hAnsi="仿宋_GB2312" w:cs="仿宋_GB2312" w:eastAsia="仿宋_GB2312"/>
          <w:sz w:val="24"/>
        </w:rPr>
        <w:t>9.</w:t>
      </w:r>
      <w:r>
        <w:rPr>
          <w:rFonts w:ascii="仿宋_GB2312" w:hAnsi="仿宋_GB2312" w:cs="仿宋_GB2312" w:eastAsia="仿宋_GB2312"/>
          <w:sz w:val="24"/>
        </w:rPr>
        <w:t>序列数目：芯片单次运行生成</w:t>
      </w:r>
      <w:r>
        <w:rPr>
          <w:rFonts w:ascii="仿宋_GB2312" w:hAnsi="仿宋_GB2312" w:cs="仿宋_GB2312" w:eastAsia="仿宋_GB2312"/>
          <w:sz w:val="24"/>
        </w:rPr>
        <w:t>≥</w:t>
      </w:r>
      <w:r>
        <w:rPr>
          <w:rFonts w:ascii="仿宋_GB2312" w:hAnsi="仿宋_GB2312" w:cs="仿宋_GB2312" w:eastAsia="仿宋_GB2312"/>
          <w:sz w:val="24"/>
        </w:rPr>
        <w:t>400M reads</w:t>
      </w:r>
      <w:r>
        <w:rPr>
          <w:rFonts w:ascii="仿宋_GB2312" w:hAnsi="仿宋_GB2312" w:cs="仿宋_GB2312" w:eastAsia="仿宋_GB2312"/>
          <w:sz w:val="24"/>
        </w:rPr>
        <w:t>。</w:t>
      </w:r>
    </w:p>
    <w:p>
      <w:pPr>
        <w:pStyle w:val="null3"/>
        <w:spacing w:before="105" w:after="105"/>
        <w:jc w:val="both"/>
      </w:pPr>
      <w:r>
        <w:rPr>
          <w:rFonts w:ascii="仿宋_GB2312" w:hAnsi="仿宋_GB2312" w:cs="仿宋_GB2312" w:eastAsia="仿宋_GB2312"/>
          <w:sz w:val="24"/>
        </w:rPr>
        <w:t>10.</w:t>
      </w:r>
      <w:r>
        <w:rPr>
          <w:rFonts w:ascii="仿宋_GB2312" w:hAnsi="仿宋_GB2312" w:cs="仿宋_GB2312" w:eastAsia="仿宋_GB2312"/>
          <w:sz w:val="24"/>
        </w:rPr>
        <w:t>序列读长：</w:t>
      </w:r>
      <w:r>
        <w:rPr>
          <w:rFonts w:ascii="仿宋_GB2312" w:hAnsi="仿宋_GB2312" w:cs="仿宋_GB2312" w:eastAsia="仿宋_GB2312"/>
          <w:sz w:val="24"/>
        </w:rPr>
        <w:t>SE</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PE</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可选。</w:t>
      </w:r>
    </w:p>
    <w:p>
      <w:pPr>
        <w:pStyle w:val="null3"/>
        <w:spacing w:before="105" w:after="105"/>
        <w:jc w:val="both"/>
      </w:pPr>
      <w:r>
        <w:rPr>
          <w:rFonts w:ascii="仿宋_GB2312" w:hAnsi="仿宋_GB2312" w:cs="仿宋_GB2312" w:eastAsia="仿宋_GB2312"/>
          <w:sz w:val="24"/>
        </w:rPr>
        <w:t>11.</w:t>
      </w:r>
      <w:r>
        <w:rPr>
          <w:rFonts w:ascii="仿宋_GB2312" w:hAnsi="仿宋_GB2312" w:cs="仿宋_GB2312" w:eastAsia="仿宋_GB2312"/>
          <w:sz w:val="24"/>
        </w:rPr>
        <w:t>具备高中通量芯片可选。</w:t>
      </w:r>
    </w:p>
    <w:p>
      <w:pPr>
        <w:pStyle w:val="null3"/>
        <w:spacing w:before="105" w:after="105"/>
        <w:jc w:val="both"/>
      </w:pPr>
      <w:r>
        <w:rPr>
          <w:rFonts w:ascii="仿宋_GB2312" w:hAnsi="仿宋_GB2312" w:cs="仿宋_GB2312" w:eastAsia="仿宋_GB2312"/>
          <w:sz w:val="24"/>
        </w:rPr>
        <w:t>12.</w:t>
      </w:r>
      <w:r>
        <w:rPr>
          <w:rFonts w:ascii="仿宋_GB2312" w:hAnsi="仿宋_GB2312" w:cs="仿宋_GB2312" w:eastAsia="仿宋_GB2312"/>
          <w:sz w:val="24"/>
        </w:rPr>
        <w:t>可连续读取</w:t>
      </w:r>
      <w:r>
        <w:rPr>
          <w:rFonts w:ascii="仿宋_GB2312" w:hAnsi="仿宋_GB2312" w:cs="仿宋_GB2312" w:eastAsia="仿宋_GB2312"/>
          <w:sz w:val="24"/>
        </w:rPr>
        <w:t>12</w:t>
      </w:r>
      <w:r>
        <w:rPr>
          <w:rFonts w:ascii="仿宋_GB2312" w:hAnsi="仿宋_GB2312" w:cs="仿宋_GB2312" w:eastAsia="仿宋_GB2312"/>
          <w:sz w:val="24"/>
        </w:rPr>
        <w:t>个以上（如</w:t>
      </w:r>
      <w:r>
        <w:rPr>
          <w:rFonts w:ascii="仿宋_GB2312" w:hAnsi="仿宋_GB2312" w:cs="仿宋_GB2312" w:eastAsia="仿宋_GB2312"/>
          <w:sz w:val="24"/>
        </w:rPr>
        <w:t>AAAAAAAAAAAAA</w:t>
      </w:r>
      <w:r>
        <w:rPr>
          <w:rFonts w:ascii="仿宋_GB2312" w:hAnsi="仿宋_GB2312" w:cs="仿宋_GB2312" w:eastAsia="仿宋_GB2312"/>
          <w:sz w:val="24"/>
        </w:rPr>
        <w:t>）单个重复序列信息。</w:t>
      </w:r>
    </w:p>
    <w:p>
      <w:pPr>
        <w:pStyle w:val="null3"/>
        <w:spacing w:before="105" w:after="105"/>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承诺提供配套的</w:t>
      </w:r>
      <w:r>
        <w:rPr>
          <w:rFonts w:ascii="仿宋_GB2312" w:hAnsi="仿宋_GB2312" w:cs="仿宋_GB2312" w:eastAsia="仿宋_GB2312"/>
          <w:sz w:val="24"/>
        </w:rPr>
        <w:t>T13</w:t>
      </w:r>
      <w:r>
        <w:rPr>
          <w:rFonts w:ascii="仿宋_GB2312" w:hAnsi="仿宋_GB2312" w:cs="仿宋_GB2312" w:eastAsia="仿宋_GB2312"/>
          <w:sz w:val="24"/>
        </w:rPr>
        <w:t>、</w:t>
      </w:r>
      <w:r>
        <w:rPr>
          <w:rFonts w:ascii="仿宋_GB2312" w:hAnsi="仿宋_GB2312" w:cs="仿宋_GB2312" w:eastAsia="仿宋_GB2312"/>
          <w:sz w:val="24"/>
        </w:rPr>
        <w:t>T18</w:t>
      </w:r>
      <w:r>
        <w:rPr>
          <w:rFonts w:ascii="仿宋_GB2312" w:hAnsi="仿宋_GB2312" w:cs="仿宋_GB2312" w:eastAsia="仿宋_GB2312"/>
          <w:sz w:val="24"/>
        </w:rPr>
        <w:t>、</w:t>
      </w:r>
      <w:r>
        <w:rPr>
          <w:rFonts w:ascii="仿宋_GB2312" w:hAnsi="仿宋_GB2312" w:cs="仿宋_GB2312" w:eastAsia="仿宋_GB2312"/>
          <w:sz w:val="24"/>
        </w:rPr>
        <w:t>T21</w:t>
      </w:r>
      <w:r>
        <w:rPr>
          <w:rFonts w:ascii="仿宋_GB2312" w:hAnsi="仿宋_GB2312" w:cs="仿宋_GB2312" w:eastAsia="仿宋_GB2312"/>
          <w:sz w:val="24"/>
        </w:rPr>
        <w:t>检测试剂，限价</w:t>
      </w:r>
      <w:r>
        <w:rPr>
          <w:rFonts w:ascii="仿宋_GB2312" w:hAnsi="仿宋_GB2312" w:cs="仿宋_GB2312" w:eastAsia="仿宋_GB2312"/>
          <w:sz w:val="24"/>
        </w:rPr>
        <w:t>≤</w:t>
      </w:r>
      <w:r>
        <w:rPr>
          <w:rFonts w:ascii="仿宋_GB2312" w:hAnsi="仿宋_GB2312" w:cs="仿宋_GB2312" w:eastAsia="仿宋_GB2312"/>
          <w:sz w:val="24"/>
        </w:rPr>
        <w:t>342</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人份（含配套试剂）。并能拓展应用，可提供与此平台适配生育、感染等相关的高通量基因检测试剂盒。</w:t>
      </w:r>
    </w:p>
    <w:p>
      <w:pPr>
        <w:pStyle w:val="null3"/>
        <w:spacing w:before="105" w:after="105"/>
        <w:jc w:val="both"/>
      </w:pPr>
      <w:r>
        <w:rPr>
          <w:rFonts w:ascii="仿宋_GB2312" w:hAnsi="仿宋_GB2312" w:cs="仿宋_GB2312" w:eastAsia="仿宋_GB2312"/>
          <w:sz w:val="24"/>
        </w:rPr>
        <w:t>14.</w:t>
      </w:r>
      <w:r>
        <w:rPr>
          <w:rFonts w:ascii="仿宋_GB2312" w:hAnsi="仿宋_GB2312" w:cs="仿宋_GB2312" w:eastAsia="仿宋_GB2312"/>
          <w:sz w:val="24"/>
        </w:rPr>
        <w:t>测序仪所使用的试剂必须保证长期稳定安全供应。</w:t>
      </w:r>
    </w:p>
    <w:p>
      <w:pPr>
        <w:pStyle w:val="null3"/>
        <w:spacing w:before="105" w:after="105"/>
        <w:jc w:val="both"/>
      </w:pPr>
      <w:r>
        <w:rPr>
          <w:rFonts w:ascii="仿宋_GB2312" w:hAnsi="仿宋_GB2312" w:cs="仿宋_GB2312" w:eastAsia="仿宋_GB2312"/>
          <w:sz w:val="24"/>
        </w:rPr>
        <w:t>15.</w:t>
      </w:r>
      <w:r>
        <w:rPr>
          <w:rFonts w:ascii="仿宋_GB2312" w:hAnsi="仿宋_GB2312" w:cs="仿宋_GB2312" w:eastAsia="仿宋_GB2312"/>
          <w:sz w:val="24"/>
        </w:rPr>
        <w:t>配套电脑硬盘</w:t>
      </w:r>
      <w:r>
        <w:rPr>
          <w:rFonts w:ascii="仿宋_GB2312" w:hAnsi="仿宋_GB2312" w:cs="仿宋_GB2312" w:eastAsia="仿宋_GB2312"/>
          <w:sz w:val="24"/>
        </w:rPr>
        <w:t>≥</w:t>
      </w:r>
      <w:r>
        <w:rPr>
          <w:rFonts w:ascii="仿宋_GB2312" w:hAnsi="仿宋_GB2312" w:cs="仿宋_GB2312" w:eastAsia="仿宋_GB2312"/>
          <w:sz w:val="24"/>
        </w:rPr>
        <w:t>8T</w:t>
      </w: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96G</w:t>
      </w:r>
      <w:r>
        <w:rPr>
          <w:rFonts w:ascii="仿宋_GB2312" w:hAnsi="仿宋_GB2312" w:cs="仿宋_GB2312" w:eastAsia="仿宋_GB2312"/>
          <w:sz w:val="24"/>
        </w:rPr>
        <w:t>。</w:t>
      </w:r>
    </w:p>
    <w:p>
      <w:pPr>
        <w:pStyle w:val="null3"/>
        <w:spacing w:before="105" w:after="105"/>
        <w:jc w:val="both"/>
      </w:pPr>
      <w:r>
        <w:rPr>
          <w:rFonts w:ascii="仿宋_GB2312" w:hAnsi="仿宋_GB2312" w:cs="仿宋_GB2312" w:eastAsia="仿宋_GB2312"/>
          <w:sz w:val="24"/>
        </w:rPr>
        <w:t>16.</w:t>
      </w:r>
      <w:r>
        <w:rPr>
          <w:rFonts w:ascii="仿宋_GB2312" w:hAnsi="仿宋_GB2312" w:cs="仿宋_GB2312" w:eastAsia="仿宋_GB2312"/>
          <w:sz w:val="24"/>
        </w:rPr>
        <w:t>提供</w:t>
      </w:r>
      <w:r>
        <w:rPr>
          <w:rFonts w:ascii="仿宋_GB2312" w:hAnsi="仿宋_GB2312" w:cs="仿宋_GB2312" w:eastAsia="仿宋_GB2312"/>
          <w:sz w:val="24"/>
        </w:rPr>
        <w:t>NI</w:t>
      </w:r>
      <w:r>
        <w:rPr>
          <w:rFonts w:ascii="仿宋_GB2312" w:hAnsi="仿宋_GB2312" w:cs="仿宋_GB2312" w:eastAsia="仿宋_GB2312"/>
          <w:sz w:val="24"/>
        </w:rPr>
        <w:t>PT</w:t>
      </w:r>
      <w:r>
        <w:rPr>
          <w:rFonts w:ascii="仿宋_GB2312" w:hAnsi="仿宋_GB2312" w:cs="仿宋_GB2312" w:eastAsia="仿宋_GB2312"/>
          <w:sz w:val="24"/>
        </w:rPr>
        <w:t>诊断筛查保险服务，其中假阴性保额</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万</w:t>
      </w:r>
      <w:r>
        <w:rPr>
          <w:rFonts w:ascii="仿宋_GB2312" w:hAnsi="仿宋_GB2312" w:cs="仿宋_GB2312" w:eastAsia="仿宋_GB2312"/>
          <w:sz w:val="24"/>
        </w:rPr>
        <w:t>/</w:t>
      </w:r>
      <w:r>
        <w:rPr>
          <w:rFonts w:ascii="仿宋_GB2312" w:hAnsi="仿宋_GB2312" w:cs="仿宋_GB2312" w:eastAsia="仿宋_GB2312"/>
          <w:sz w:val="24"/>
        </w:rPr>
        <w:t>例。</w:t>
      </w:r>
    </w:p>
    <w:p>
      <w:pPr>
        <w:pStyle w:val="null3"/>
        <w:spacing w:before="105" w:after="105"/>
        <w:jc w:val="both"/>
      </w:pPr>
      <w:r>
        <w:rPr>
          <w:rFonts w:ascii="仿宋_GB2312" w:hAnsi="仿宋_GB2312" w:cs="仿宋_GB2312" w:eastAsia="仿宋_GB2312"/>
          <w:sz w:val="24"/>
        </w:rPr>
        <w:t>17.</w:t>
      </w:r>
      <w:r>
        <w:rPr>
          <w:rFonts w:ascii="仿宋_GB2312" w:hAnsi="仿宋_GB2312" w:cs="仿宋_GB2312" w:eastAsia="仿宋_GB2312"/>
          <w:sz w:val="24"/>
        </w:rPr>
        <w:t>提供实验人员服务、技术支持服务及样本快递服务。</w:t>
      </w:r>
    </w:p>
    <w:p>
      <w:pPr>
        <w:pStyle w:val="null3"/>
        <w:spacing w:before="105" w:after="105"/>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包含基因测序</w:t>
      </w:r>
      <w:r>
        <w:rPr>
          <w:rFonts w:ascii="仿宋_GB2312" w:hAnsi="仿宋_GB2312" w:cs="仿宋_GB2312" w:eastAsia="仿宋_GB2312"/>
          <w:sz w:val="24"/>
        </w:rPr>
        <w:t>仪（核心产品）、医用冷藏冰箱、医用冷冻冰箱、超净工作台、生物安全柜、各类离心机、荧光定量</w:t>
      </w:r>
      <w:r>
        <w:rPr>
          <w:rFonts w:ascii="仿宋_GB2312" w:hAnsi="仿宋_GB2312" w:cs="仿宋_GB2312" w:eastAsia="仿宋_GB2312"/>
          <w:sz w:val="24"/>
        </w:rPr>
        <w:t>PCR仪、</w:t>
      </w:r>
      <w:r>
        <w:rPr>
          <w:rFonts w:ascii="仿宋_GB2312" w:hAnsi="仿宋_GB2312" w:cs="仿宋_GB2312" w:eastAsia="仿宋_GB2312"/>
          <w:sz w:val="24"/>
        </w:rPr>
        <w:t>PCR</w:t>
      </w:r>
      <w:r>
        <w:rPr>
          <w:rFonts w:ascii="仿宋_GB2312" w:hAnsi="仿宋_GB2312" w:cs="仿宋_GB2312" w:eastAsia="仿宋_GB2312"/>
          <w:sz w:val="24"/>
        </w:rPr>
        <w:t>扩增仪或热循环仪、基因数据分析服务器及软件、激光打印机、外置电源等可以满足开展</w:t>
      </w:r>
      <w:r>
        <w:rPr>
          <w:rFonts w:ascii="仿宋_GB2312" w:hAnsi="仿宋_GB2312" w:cs="仿宋_GB2312" w:eastAsia="仿宋_GB2312"/>
          <w:sz w:val="24"/>
        </w:rPr>
        <w:t>NIPT</w:t>
      </w:r>
      <w:r>
        <w:rPr>
          <w:rFonts w:ascii="仿宋_GB2312" w:hAnsi="仿宋_GB2312" w:cs="仿宋_GB2312" w:eastAsia="仿宋_GB2312"/>
          <w:sz w:val="24"/>
        </w:rPr>
        <w:t>检测的全流程设备及配套试剂和耗材；提供与检测试剂盒配套的高通量基因测序软件，后续可扩展升级应用。（以上投标货物若属于《医疗器械监督管理条例》规定的第一类医疗器械产品应提供《第一类医疗器械备案凭证》，若属于第二类、第三类医疗器械产品应取得《医疗器械注册证》</w:t>
      </w:r>
      <w:r>
        <w:rPr>
          <w:rFonts w:ascii="仿宋_GB2312" w:hAnsi="仿宋_GB2312" w:cs="仿宋_GB2312" w:eastAsia="仿宋_GB2312"/>
          <w:sz w:val="24"/>
        </w:rPr>
        <w:t>(如有注册登记表应提供)。注：其中基因测序仪应提供第三类《医疗器械注册证》。</w:t>
      </w:r>
      <w:r>
        <w:rPr>
          <w:rFonts w:ascii="仿宋_GB2312" w:hAnsi="仿宋_GB2312" w:cs="仿宋_GB2312" w:eastAsia="仿宋_GB2312"/>
          <w:sz w:val="24"/>
          <w:b/>
        </w:rPr>
        <w:t>应在投标文件</w:t>
      </w:r>
      <w:r>
        <w:rPr>
          <w:rFonts w:ascii="仿宋_GB2312" w:hAnsi="仿宋_GB2312" w:cs="仿宋_GB2312" w:eastAsia="仿宋_GB2312"/>
          <w:sz w:val="24"/>
          <w:b/>
        </w:rPr>
        <w:t>《技术商务部分》提供证书复印件，所有证件必须在有效期内。</w:t>
      </w:r>
      <w:r>
        <w:rPr>
          <w:rFonts w:ascii="仿宋_GB2312" w:hAnsi="仿宋_GB2312" w:cs="仿宋_GB2312" w:eastAsia="仿宋_GB2312"/>
          <w:sz w:val="24"/>
          <w:b/>
        </w:rPr>
        <w:t>在投标文件《技术商务部分》提供以上货物的货物清单，清单至少包含：序号、名称、数量、品牌型号</w:t>
      </w:r>
      <w:r>
        <w:rPr>
          <w:rFonts w:ascii="仿宋_GB2312" w:hAnsi="仿宋_GB2312" w:cs="仿宋_GB2312" w:eastAsia="仿宋_GB2312"/>
          <w:sz w:val="24"/>
          <w:b/>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自合同签订之日起30日</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福建省龙岩市新罗区九一北路105号</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1）设备须检测合格。（2）设备到货安装、调试后正常运行一个月并完成相关培训，持有买方的设备安装验收报告单,（附交接物品清单，须有使用科室负责人签字），经设备处工程师和设备使用科室负责人在验收报告单上签字即为验收完成。（3）保修期从买方设备安装验收报告单签署时间算起</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1、合同签订后，货到安装及验收合格后，达到付款条件起30日内，支付合同总金额的90.00%</w:t>
            </w:r>
          </w:p>
          <w:p>
            <w:pPr>
              <w:pStyle w:val="null3"/>
              <w:jc w:val="both"/>
            </w:pPr>
            <w:r>
              <w:rPr>
                <w:rFonts w:ascii="仿宋_GB2312" w:hAnsi="仿宋_GB2312" w:cs="仿宋_GB2312" w:eastAsia="仿宋_GB2312"/>
              </w:rPr>
              <w:t>2、一年后无未了事宜及质量问题，达到付款条件起30日内，支付合同总金额的10.00%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shd w:fill="FFFFFF" w:val="clear"/>
        </w:rPr>
        <w:t>8、货物包装方式</w:t>
      </w:r>
    </w:p>
    <w:p>
      <w:pPr>
        <w:pStyle w:val="null3"/>
        <w:spacing w:before="105" w:after="105"/>
        <w:ind w:firstLine="480"/>
        <w:jc w:val="left"/>
      </w:pPr>
      <w:r>
        <w:rPr>
          <w:rFonts w:ascii="仿宋_GB2312" w:hAnsi="仿宋_GB2312" w:cs="仿宋_GB2312" w:eastAsia="仿宋_GB2312"/>
          <w:sz w:val="24"/>
          <w:shd w:fill="FFFFFF" w:val="clear"/>
        </w:rPr>
        <w:t>8.1包装：货物交货时应按国家有关标准要求进行包装。</w:t>
      </w:r>
    </w:p>
    <w:p>
      <w:pPr>
        <w:pStyle w:val="null3"/>
        <w:spacing w:before="105" w:after="105"/>
        <w:ind w:firstLine="480"/>
        <w:jc w:val="left"/>
      </w:pPr>
      <w:r>
        <w:rPr>
          <w:rFonts w:ascii="仿宋_GB2312" w:hAnsi="仿宋_GB2312" w:cs="仿宋_GB2312" w:eastAsia="仿宋_GB2312"/>
          <w:sz w:val="24"/>
          <w:shd w:fill="FFFFFF" w:val="clear"/>
        </w:rPr>
        <w:t>8.2方式：包装必须与运输方式相适应，包装方式的确定及包装费用均由中标人负责；由于不适当的包装而造成货物在运输过程中有任何损坏由中标人负责。</w:t>
      </w:r>
    </w:p>
    <w:p>
      <w:pPr>
        <w:pStyle w:val="null3"/>
        <w:spacing w:before="105" w:after="105"/>
        <w:ind w:firstLine="480"/>
        <w:jc w:val="left"/>
      </w:pPr>
      <w:r>
        <w:rPr>
          <w:rFonts w:ascii="仿宋_GB2312" w:hAnsi="仿宋_GB2312" w:cs="仿宋_GB2312" w:eastAsia="仿宋_GB2312"/>
          <w:sz w:val="24"/>
          <w:shd w:fill="FFFFFF" w:val="clear"/>
        </w:rPr>
        <w:t>注：包装应足以承受整个过程中的运输、转运、装卸、储存等，充分考虑到运输途中的各种情况</w:t>
      </w:r>
      <w:r>
        <w:rPr>
          <w:rFonts w:ascii="仿宋_GB2312" w:hAnsi="仿宋_GB2312" w:cs="仿宋_GB2312" w:eastAsia="仿宋_GB2312"/>
          <w:sz w:val="24"/>
          <w:shd w:fill="FFFFFF" w:val="clear"/>
        </w:rPr>
        <w:t>(如暴露于恶劣气候等)和项目所在地的气候特点，以及露天存放的需要。</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shd w:fill="FFFFFF" w:val="clear"/>
        </w:rPr>
        <w:t>9、安装、调试</w:t>
      </w:r>
    </w:p>
    <w:p>
      <w:pPr>
        <w:pStyle w:val="null3"/>
        <w:spacing w:before="105" w:after="105"/>
        <w:ind w:firstLine="480"/>
        <w:jc w:val="left"/>
      </w:pPr>
      <w:r>
        <w:rPr>
          <w:rFonts w:ascii="仿宋_GB2312" w:hAnsi="仿宋_GB2312" w:cs="仿宋_GB2312" w:eastAsia="仿宋_GB2312"/>
          <w:sz w:val="24"/>
          <w:shd w:fill="FFFFFF" w:val="clear"/>
        </w:rPr>
        <w:t>9.1中标人应在签订合同时，向采购人提供安装、调试的进度计划表。</w:t>
      </w:r>
    </w:p>
    <w:p>
      <w:pPr>
        <w:pStyle w:val="null3"/>
        <w:spacing w:before="105" w:after="105"/>
        <w:ind w:firstLine="480"/>
        <w:jc w:val="left"/>
      </w:pPr>
      <w:r>
        <w:rPr>
          <w:rFonts w:ascii="仿宋_GB2312" w:hAnsi="仿宋_GB2312" w:cs="仿宋_GB2312" w:eastAsia="仿宋_GB2312"/>
          <w:sz w:val="24"/>
          <w:shd w:fill="FFFFFF" w:val="clear"/>
        </w:rPr>
        <w:t>9.2合同签订后，由中标人负责将合同规定的设备数量送到安装地点，设备通过采购人确认后，由中标人指派的技术人员到现场进行安装。采购人将安排专人配合，并提供安装所需的基本条件，保证各项安装工作顺利进行。</w:t>
      </w:r>
    </w:p>
    <w:p>
      <w:pPr>
        <w:pStyle w:val="null3"/>
        <w:spacing w:before="105" w:after="105"/>
        <w:ind w:firstLine="480"/>
        <w:jc w:val="left"/>
      </w:pPr>
      <w:r>
        <w:rPr>
          <w:rFonts w:ascii="仿宋_GB2312" w:hAnsi="仿宋_GB2312" w:cs="仿宋_GB2312" w:eastAsia="仿宋_GB2312"/>
          <w:sz w:val="24"/>
          <w:shd w:fill="FFFFFF" w:val="clear"/>
        </w:rPr>
        <w:t>9.3中标人负责组织专业技术人员进行设备调试，并向采购人安排的工作人员介绍设备功能。</w:t>
      </w:r>
    </w:p>
    <w:p>
      <w:pPr>
        <w:pStyle w:val="null3"/>
        <w:spacing w:before="105" w:after="105"/>
        <w:ind w:firstLine="480"/>
        <w:jc w:val="left"/>
      </w:pPr>
      <w:r>
        <w:rPr>
          <w:rFonts w:ascii="仿宋_GB2312" w:hAnsi="仿宋_GB2312" w:cs="仿宋_GB2312" w:eastAsia="仿宋_GB2312"/>
          <w:sz w:val="24"/>
          <w:shd w:fill="FFFFFF" w:val="clear"/>
        </w:rPr>
        <w:t>9.4设备安装、调试的完工期须按照合同的规定执行。</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shd w:fill="FFFFFF" w:val="clear"/>
        </w:rPr>
        <w:t>10、检验标准和方法</w:t>
      </w:r>
    </w:p>
    <w:p>
      <w:pPr>
        <w:pStyle w:val="null3"/>
        <w:spacing w:before="105" w:after="105"/>
        <w:ind w:firstLine="480"/>
        <w:jc w:val="left"/>
      </w:pPr>
      <w:r>
        <w:rPr>
          <w:rFonts w:ascii="仿宋_GB2312" w:hAnsi="仿宋_GB2312" w:cs="仿宋_GB2312" w:eastAsia="仿宋_GB2312"/>
          <w:sz w:val="24"/>
          <w:shd w:fill="FFFFFF" w:val="clear"/>
        </w:rPr>
        <w:t>10.1中标人应让制造商在发货之前，对设备的有关内在和外观质量、规格、性能、数量和重量进行准确的和全面的检验，并出具其设备的符合合同规定的质量证书。该证书将作为提交采购人付款单据的组成部分，但不应视为是对质量、规格、性能、数量或重量的最终定论。质量证书应附有写明制造商检验的细节和结果的说明。</w:t>
      </w:r>
    </w:p>
    <w:p>
      <w:pPr>
        <w:pStyle w:val="null3"/>
        <w:spacing w:before="105" w:after="105"/>
        <w:ind w:firstLine="480"/>
        <w:jc w:val="left"/>
      </w:pPr>
      <w:r>
        <w:rPr>
          <w:rFonts w:ascii="仿宋_GB2312" w:hAnsi="仿宋_GB2312" w:cs="仿宋_GB2312" w:eastAsia="仿宋_GB2312"/>
          <w:sz w:val="24"/>
          <w:shd w:fill="FFFFFF" w:val="clear"/>
        </w:rPr>
        <w:t>10.2 设备运抵目的地或现场并安装调试后，由采购人按招标文件和中标人投标文件中的技术参数标准对设备的包装、外观、性能、配件和技术资料进行验收，中标人应当到场；验收合格的，采购人应向中标人提供验收合格证明。验收不合格的，采购人有权要求更换、补齐或退货，并提出索赔。</w:t>
      </w:r>
    </w:p>
    <w:p>
      <w:pPr>
        <w:pStyle w:val="null3"/>
        <w:spacing w:before="105" w:after="105"/>
        <w:ind w:firstLine="480"/>
        <w:jc w:val="left"/>
      </w:pPr>
      <w:r>
        <w:rPr>
          <w:rFonts w:ascii="仿宋_GB2312" w:hAnsi="仿宋_GB2312" w:cs="仿宋_GB2312" w:eastAsia="仿宋_GB2312"/>
          <w:sz w:val="24"/>
          <w:shd w:fill="FFFFFF" w:val="clear"/>
        </w:rPr>
        <w:t>10.3设备正式验收合格并移交前发生的外观擦损、内部配件缺失等问题，均由中标人负责。</w:t>
      </w:r>
    </w:p>
    <w:p>
      <w:pPr>
        <w:pStyle w:val="null3"/>
        <w:spacing w:before="105" w:after="105"/>
        <w:ind w:firstLine="480"/>
        <w:jc w:val="left"/>
      </w:pPr>
      <w:r>
        <w:rPr>
          <w:rFonts w:ascii="仿宋_GB2312" w:hAnsi="仿宋_GB2312" w:cs="仿宋_GB2312" w:eastAsia="仿宋_GB2312"/>
          <w:sz w:val="24"/>
          <w:shd w:fill="FFFFFF" w:val="clear"/>
        </w:rPr>
        <w:t>10.4设备到货后由采购人对设备进行初验。</w:t>
      </w:r>
    </w:p>
    <w:p>
      <w:pPr>
        <w:pStyle w:val="null3"/>
        <w:spacing w:before="105" w:after="105"/>
        <w:ind w:firstLine="480"/>
        <w:jc w:val="left"/>
      </w:pPr>
      <w:r>
        <w:rPr>
          <w:rFonts w:ascii="仿宋_GB2312" w:hAnsi="仿宋_GB2312" w:cs="仿宋_GB2312" w:eastAsia="仿宋_GB2312"/>
          <w:sz w:val="24"/>
          <w:shd w:fill="FFFFFF" w:val="clear"/>
        </w:rPr>
        <w:t>10.5如采购人认为有必要邀请院外专家参与验收的，可邀请专家一同进行验收，相关费用由中标方承担。</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shd w:fill="FFFFFF" w:val="clear"/>
        </w:rPr>
        <w:t>11、技术培训及技术资料要求</w:t>
      </w:r>
    </w:p>
    <w:p>
      <w:pPr>
        <w:pStyle w:val="null3"/>
        <w:spacing w:before="105" w:after="105"/>
        <w:ind w:firstLine="480"/>
        <w:jc w:val="left"/>
      </w:pPr>
      <w:r>
        <w:rPr>
          <w:rFonts w:ascii="仿宋_GB2312" w:hAnsi="仿宋_GB2312" w:cs="仿宋_GB2312" w:eastAsia="仿宋_GB2312"/>
          <w:sz w:val="24"/>
          <w:shd w:fill="FFFFFF" w:val="clear"/>
        </w:rPr>
        <w:t>11.1 技术培训：中标人应结合货物安装、调试等阶段，同步的对采购人的技术人员就有关系统安装、维护、操作使用等方面进行现场技术培训，使受训人员能熟练掌 握所有的安装测试和维护方法以及操作命令的使用；同时还应提供由所投货物厂家提供的现场技术培训，以进一步深入了解系统的体系结构和工作原理。</w:t>
      </w:r>
    </w:p>
    <w:p>
      <w:pPr>
        <w:pStyle w:val="null3"/>
        <w:spacing w:before="105" w:after="105"/>
        <w:ind w:firstLine="480"/>
        <w:jc w:val="left"/>
      </w:pPr>
      <w:r>
        <w:rPr>
          <w:rFonts w:ascii="仿宋_GB2312" w:hAnsi="仿宋_GB2312" w:cs="仿宋_GB2312" w:eastAsia="仿宋_GB2312"/>
          <w:sz w:val="24"/>
          <w:shd w:fill="FFFFFF" w:val="clear"/>
        </w:rPr>
        <w:t>11.2技术资料：中标人应向采购人提供不少于以下列明的中文(或英文)技术资料，在设备供货时随机提供；并提供货物原装品 牌的证明文件或资料，其费用应包括在报价内。中标后应提供的技术资料如下：</w:t>
      </w:r>
    </w:p>
    <w:p>
      <w:pPr>
        <w:pStyle w:val="null3"/>
        <w:spacing w:before="105" w:after="105"/>
        <w:ind w:firstLine="480"/>
        <w:jc w:val="left"/>
      </w:pPr>
      <w:r>
        <w:rPr>
          <w:rFonts w:ascii="仿宋_GB2312" w:hAnsi="仿宋_GB2312" w:cs="仿宋_GB2312" w:eastAsia="仿宋_GB2312"/>
          <w:sz w:val="24"/>
          <w:shd w:fill="FFFFFF" w:val="clear"/>
        </w:rPr>
        <w:t>1)出厂明细表(装箱单)、零部件目录；</w:t>
      </w:r>
    </w:p>
    <w:p>
      <w:pPr>
        <w:pStyle w:val="null3"/>
        <w:spacing w:before="105" w:after="105"/>
        <w:ind w:firstLine="480"/>
        <w:jc w:val="left"/>
      </w:pPr>
      <w:r>
        <w:rPr>
          <w:rFonts w:ascii="仿宋_GB2312" w:hAnsi="仿宋_GB2312" w:cs="仿宋_GB2312" w:eastAsia="仿宋_GB2312"/>
          <w:sz w:val="24"/>
          <w:shd w:fill="FFFFFF" w:val="clear"/>
        </w:rPr>
        <w:t>2)出厂检验报告、合格证书及生产厂家供货确认函；</w:t>
      </w:r>
    </w:p>
    <w:p>
      <w:pPr>
        <w:pStyle w:val="null3"/>
        <w:spacing w:before="105" w:after="105"/>
        <w:ind w:firstLine="480"/>
        <w:jc w:val="left"/>
      </w:pPr>
      <w:r>
        <w:rPr>
          <w:rFonts w:ascii="仿宋_GB2312" w:hAnsi="仿宋_GB2312" w:cs="仿宋_GB2312" w:eastAsia="仿宋_GB2312"/>
          <w:sz w:val="24"/>
          <w:shd w:fill="FFFFFF" w:val="clear"/>
        </w:rPr>
        <w:t>3)安装手册；操作手册(中文)；维修手册；</w:t>
      </w:r>
    </w:p>
    <w:p>
      <w:pPr>
        <w:pStyle w:val="null3"/>
        <w:spacing w:before="105" w:after="105"/>
        <w:ind w:firstLine="480"/>
        <w:jc w:val="left"/>
      </w:pPr>
      <w:r>
        <w:rPr>
          <w:rFonts w:ascii="仿宋_GB2312" w:hAnsi="仿宋_GB2312" w:cs="仿宋_GB2312" w:eastAsia="仿宋_GB2312"/>
          <w:sz w:val="24"/>
          <w:shd w:fill="FFFFFF" w:val="clear"/>
        </w:rPr>
        <w:t>4)备品备件、损件清单</w:t>
      </w:r>
    </w:p>
    <w:p>
      <w:pPr>
        <w:pStyle w:val="null3"/>
        <w:spacing w:before="105" w:after="105"/>
        <w:ind w:firstLine="480"/>
        <w:jc w:val="left"/>
      </w:pPr>
      <w:r>
        <w:rPr>
          <w:rFonts w:ascii="仿宋_GB2312" w:hAnsi="仿宋_GB2312" w:cs="仿宋_GB2312" w:eastAsia="仿宋_GB2312"/>
          <w:sz w:val="24"/>
          <w:shd w:fill="FFFFFF" w:val="clear"/>
        </w:rPr>
        <w:t>5)产品技术说明书；</w:t>
      </w:r>
    </w:p>
    <w:p>
      <w:pPr>
        <w:pStyle w:val="null3"/>
        <w:spacing w:before="105" w:after="105"/>
        <w:ind w:firstLine="480"/>
        <w:jc w:val="left"/>
      </w:pPr>
      <w:r>
        <w:rPr>
          <w:rFonts w:ascii="仿宋_GB2312" w:hAnsi="仿宋_GB2312" w:cs="仿宋_GB2312" w:eastAsia="仿宋_GB2312"/>
          <w:sz w:val="24"/>
          <w:shd w:fill="FFFFFF" w:val="clear"/>
        </w:rPr>
        <w:t>6)产品技术标准(含验收标准)和测试方法；</w:t>
      </w:r>
    </w:p>
    <w:p>
      <w:pPr>
        <w:pStyle w:val="null3"/>
        <w:spacing w:before="105" w:after="105"/>
        <w:ind w:firstLine="480"/>
        <w:jc w:val="left"/>
      </w:pPr>
      <w:r>
        <w:rPr>
          <w:rFonts w:ascii="仿宋_GB2312" w:hAnsi="仿宋_GB2312" w:cs="仿宋_GB2312" w:eastAsia="仿宋_GB2312"/>
          <w:sz w:val="24"/>
          <w:shd w:fill="FFFFFF" w:val="clear"/>
        </w:rPr>
        <w:t>7)设备安装、调试等安装调试资料；</w:t>
      </w:r>
    </w:p>
    <w:p>
      <w:pPr>
        <w:pStyle w:val="null3"/>
        <w:spacing w:before="105" w:after="105"/>
        <w:ind w:firstLine="480"/>
        <w:jc w:val="left"/>
      </w:pPr>
      <w:r>
        <w:rPr>
          <w:rFonts w:ascii="仿宋_GB2312" w:hAnsi="仿宋_GB2312" w:cs="仿宋_GB2312" w:eastAsia="仿宋_GB2312"/>
          <w:sz w:val="24"/>
          <w:shd w:fill="FFFFFF" w:val="clear"/>
        </w:rPr>
        <w:t>8)提供制造商的产品证明、进口报关与商检的相关文件</w:t>
      </w:r>
    </w:p>
    <w:p>
      <w:pPr>
        <w:pStyle w:val="null3"/>
        <w:spacing w:before="105" w:after="105"/>
        <w:ind w:firstLine="480"/>
        <w:jc w:val="left"/>
      </w:pPr>
      <w:r>
        <w:rPr>
          <w:rFonts w:ascii="仿宋_GB2312" w:hAnsi="仿宋_GB2312" w:cs="仿宋_GB2312" w:eastAsia="仿宋_GB2312"/>
          <w:sz w:val="24"/>
          <w:shd w:fill="FFFFFF" w:val="clear"/>
        </w:rPr>
        <w:t>9)备品备件易耗件清单及合同中要求的其它文件资料。</w:t>
      </w:r>
    </w:p>
    <w:p>
      <w:pPr>
        <w:pStyle w:val="null3"/>
        <w:spacing w:before="105" w:after="105"/>
        <w:ind w:firstLine="480"/>
        <w:jc w:val="left"/>
      </w:pPr>
      <w:r>
        <w:rPr>
          <w:rFonts w:ascii="仿宋_GB2312" w:hAnsi="仿宋_GB2312" w:cs="仿宋_GB2312" w:eastAsia="仿宋_GB2312"/>
          <w:sz w:val="24"/>
          <w:shd w:fill="FFFFFF" w:val="clear"/>
        </w:rPr>
        <w:t>10)合同中要求的其它文件资料</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shd w:fill="FFFFFF" w:val="clear"/>
        </w:rPr>
        <w:t>12、质保期和售 后 服 务要求</w:t>
      </w:r>
    </w:p>
    <w:p>
      <w:pPr>
        <w:pStyle w:val="null3"/>
        <w:spacing w:before="105" w:after="240"/>
        <w:ind w:firstLine="480"/>
        <w:jc w:val="left"/>
      </w:pPr>
      <w:r>
        <w:rPr>
          <w:rFonts w:ascii="仿宋_GB2312" w:hAnsi="仿宋_GB2312" w:cs="仿宋_GB2312" w:eastAsia="仿宋_GB2312"/>
          <w:sz w:val="24"/>
          <w:shd w:fill="FFFFFF" w:val="clear"/>
        </w:rPr>
        <w:t>12.1 中标人须按招标文件的要求提供合格的产品，承诺自验收合格后至少</w:t>
      </w:r>
      <w:r>
        <w:rPr>
          <w:rFonts w:ascii="仿宋_GB2312" w:hAnsi="仿宋_GB2312" w:cs="仿宋_GB2312" w:eastAsia="仿宋_GB2312"/>
          <w:sz w:val="24"/>
          <w:b/>
          <w:shd w:fill="FFFFFF" w:val="clear"/>
        </w:rPr>
        <w:t>免费保修期</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≥3年（国</w:t>
      </w:r>
      <w:r>
        <w:rPr>
          <w:rFonts w:ascii="仿宋_GB2312" w:hAnsi="仿宋_GB2312" w:cs="仿宋_GB2312" w:eastAsia="仿宋_GB2312"/>
          <w:sz w:val="24"/>
        </w:rPr>
        <w:t>家或厂家有更长质量保证期限规定的从其规定，保修期不得低于国家或厂家</w:t>
      </w:r>
      <w:r>
        <w:rPr>
          <w:rFonts w:ascii="仿宋_GB2312" w:hAnsi="仿宋_GB2312" w:cs="仿宋_GB2312" w:eastAsia="仿宋_GB2312"/>
          <w:sz w:val="24"/>
          <w:shd w:fill="FFFFFF" w:val="clear"/>
        </w:rPr>
        <w:t>的规定）</w:t>
      </w:r>
      <w:r>
        <w:rPr>
          <w:rFonts w:ascii="仿宋_GB2312" w:hAnsi="仿宋_GB2312" w:cs="仿宋_GB2312" w:eastAsia="仿宋_GB2312"/>
          <w:sz w:val="24"/>
          <w:shd w:fill="FFFFFF" w:val="clear"/>
        </w:rPr>
        <w:t>,保修期自验收合格签名之日起计算。保修期内，须按合同条款提供免费服务，非因操作不当造成要更换的零配件由中标人负责包修、包换。</w:t>
      </w:r>
    </w:p>
    <w:p>
      <w:pPr>
        <w:pStyle w:val="null3"/>
        <w:spacing w:before="105" w:after="105"/>
        <w:ind w:firstLine="480"/>
        <w:jc w:val="left"/>
      </w:pPr>
      <w:r>
        <w:rPr>
          <w:rFonts w:ascii="仿宋_GB2312" w:hAnsi="仿宋_GB2312" w:cs="仿宋_GB2312" w:eastAsia="仿宋_GB2312"/>
          <w:sz w:val="24"/>
          <w:shd w:fill="FFFFFF" w:val="clear"/>
        </w:rPr>
        <w:t>12.2 中标人在保修期内须提供上门维修服务，设备运行发生故障时中标人在接到采购人故障通知后2小时内响应，并在4个小时内派遣工程师到达故障现场进行维修，免费负责修理或更换有缺陷的零部件或整机，对造成的损失按合同规定赔偿及负责违约责任。如属硬件故障原因而且在到达故障现场24小时内无法排除 故障的，则应先提供同款备用新机供采购人使用。其中发生的一切费用由中标人承担。在保修期内出现设备质量问题(同一故障发生二次)，采购人则 有权要求更换整机，更换的质量保证期从更换之日起相应顺延。</w:t>
      </w:r>
    </w:p>
    <w:p>
      <w:pPr>
        <w:pStyle w:val="null3"/>
        <w:spacing w:before="105" w:after="105"/>
        <w:ind w:firstLine="480"/>
        <w:jc w:val="left"/>
      </w:pPr>
      <w:r>
        <w:rPr>
          <w:rFonts w:ascii="仿宋_GB2312" w:hAnsi="仿宋_GB2312" w:cs="仿宋_GB2312" w:eastAsia="仿宋_GB2312"/>
          <w:sz w:val="24"/>
          <w:shd w:fill="FFFFFF" w:val="clear"/>
        </w:rPr>
        <w:t>12.3保修期满前1个月内中标人应负责对设备进行一次全面检查，如发现潜在问题，应负责排除，保证设备正常运行。</w:t>
      </w:r>
    </w:p>
    <w:p>
      <w:pPr>
        <w:pStyle w:val="null3"/>
        <w:spacing w:before="105" w:after="105"/>
        <w:ind w:firstLine="480"/>
        <w:jc w:val="left"/>
      </w:pPr>
      <w:r>
        <w:rPr>
          <w:rFonts w:ascii="仿宋_GB2312" w:hAnsi="仿宋_GB2312" w:cs="仿宋_GB2312" w:eastAsia="仿宋_GB2312"/>
          <w:sz w:val="24"/>
          <w:shd w:fill="FFFFFF" w:val="clear"/>
        </w:rPr>
        <w:t>12.4保修期结束后，中标人应在设备使用地区委托有维修能力的代 理机构对设备在必要时进行定期维护和修理，可合理收取维修成本费，更换配件时只能收配件成本费，各配件的折扣价格应在投标文件中注明。</w:t>
      </w:r>
    </w:p>
    <w:p>
      <w:pPr>
        <w:pStyle w:val="null3"/>
        <w:spacing w:before="105" w:after="105"/>
        <w:ind w:firstLine="480"/>
        <w:jc w:val="left"/>
      </w:pPr>
      <w:r>
        <w:rPr>
          <w:rFonts w:ascii="仿宋_GB2312" w:hAnsi="仿宋_GB2312" w:cs="仿宋_GB2312" w:eastAsia="仿宋_GB2312"/>
          <w:sz w:val="24"/>
          <w:shd w:fill="FFFFFF" w:val="clear"/>
        </w:rPr>
        <w:t>12.5各投标人可视自身能力在投标文件中提供更优、更合理的质保期和售 后 服 务承诺。</w:t>
      </w:r>
    </w:p>
    <w:p>
      <w:pPr>
        <w:pStyle w:val="null3"/>
        <w:spacing w:before="105" w:after="150"/>
        <w:ind w:firstLine="480"/>
        <w:jc w:val="left"/>
      </w:pPr>
      <w:r>
        <w:rPr>
          <w:rFonts w:ascii="仿宋_GB2312" w:hAnsi="仿宋_GB2312" w:cs="仿宋_GB2312" w:eastAsia="仿宋_GB2312"/>
          <w:sz w:val="24"/>
        </w:rPr>
        <w:t>★13、违约责任</w:t>
      </w:r>
    </w:p>
    <w:p>
      <w:pPr>
        <w:pStyle w:val="null3"/>
        <w:spacing w:before="105" w:after="150"/>
        <w:ind w:firstLine="480"/>
        <w:jc w:val="left"/>
      </w:pPr>
      <w:r>
        <w:rPr>
          <w:rFonts w:ascii="仿宋_GB2312" w:hAnsi="仿宋_GB2312" w:cs="仿宋_GB2312" w:eastAsia="仿宋_GB2312"/>
          <w:sz w:val="24"/>
        </w:rPr>
        <w:t>13.1因中标人原因造成采购合同无法按时签订，视为中标人违约，中标人违约对采购人造成的损失的，需另行支付相应的赔偿。</w:t>
      </w:r>
    </w:p>
    <w:p>
      <w:pPr>
        <w:pStyle w:val="null3"/>
        <w:spacing w:before="105" w:after="150"/>
        <w:ind w:firstLine="480"/>
        <w:jc w:val="left"/>
      </w:pPr>
      <w:r>
        <w:rPr>
          <w:rFonts w:ascii="仿宋_GB2312" w:hAnsi="仿宋_GB2312" w:cs="仿宋_GB2312" w:eastAsia="仿宋_GB2312"/>
          <w:sz w:val="24"/>
        </w:rPr>
        <w:t>13.2在签定采购合同之后，有下列情形之一的，将视为中标人违约，采购人有权要求中标人支付违约金，并直接从履约保证金及剩余合同价款中予以抵扣；若履约保证金及剩余合同价款不足，采购人有权进一步提出追索和索赔：</w:t>
      </w:r>
    </w:p>
    <w:p>
      <w:pPr>
        <w:pStyle w:val="null3"/>
        <w:spacing w:before="105" w:after="150"/>
        <w:ind w:firstLine="480"/>
        <w:jc w:val="left"/>
      </w:pPr>
      <w:r>
        <w:rPr>
          <w:rFonts w:ascii="仿宋_GB2312" w:hAnsi="仿宋_GB2312" w:cs="仿宋_GB2312" w:eastAsia="仿宋_GB2312"/>
          <w:sz w:val="24"/>
        </w:rPr>
        <w:t>13.2.1 签定合同后，中标人未按合同规定提供货物或服务的；</w:t>
      </w:r>
    </w:p>
    <w:p>
      <w:pPr>
        <w:pStyle w:val="null3"/>
        <w:spacing w:before="105" w:after="150"/>
        <w:ind w:firstLine="480"/>
        <w:jc w:val="left"/>
      </w:pPr>
      <w:r>
        <w:rPr>
          <w:rFonts w:ascii="仿宋_GB2312" w:hAnsi="仿宋_GB2312" w:cs="仿宋_GB2312" w:eastAsia="仿宋_GB2312"/>
          <w:sz w:val="24"/>
        </w:rPr>
        <w:t>13.2.2中标人逾期提交材料的，每逾期一天，按合同价格的万分之五偿付违约金；</w:t>
      </w:r>
    </w:p>
    <w:p>
      <w:pPr>
        <w:pStyle w:val="null3"/>
        <w:spacing w:before="105" w:after="150"/>
        <w:ind w:firstLine="480"/>
        <w:jc w:val="left"/>
      </w:pPr>
      <w:r>
        <w:rPr>
          <w:rFonts w:ascii="仿宋_GB2312" w:hAnsi="仿宋_GB2312" w:cs="仿宋_GB2312" w:eastAsia="仿宋_GB2312"/>
          <w:sz w:val="24"/>
        </w:rPr>
        <w:t>13.2.3中标人不能交货或不能完成合同所约定服务的（不可抗力因素造成的除外）；</w:t>
      </w:r>
    </w:p>
    <w:p>
      <w:pPr>
        <w:pStyle w:val="null3"/>
        <w:spacing w:before="105" w:after="150"/>
        <w:ind w:firstLine="480"/>
        <w:jc w:val="left"/>
      </w:pPr>
      <w:r>
        <w:rPr>
          <w:rFonts w:ascii="仿宋_GB2312" w:hAnsi="仿宋_GB2312" w:cs="仿宋_GB2312" w:eastAsia="仿宋_GB2312"/>
          <w:sz w:val="24"/>
        </w:rPr>
        <w:t>13.2.4中标人未能按合同规定履行其义务的；</w:t>
      </w:r>
    </w:p>
    <w:p>
      <w:pPr>
        <w:pStyle w:val="null3"/>
        <w:spacing w:before="105" w:after="150"/>
        <w:ind w:firstLine="480"/>
        <w:jc w:val="left"/>
      </w:pPr>
      <w:r>
        <w:rPr>
          <w:rFonts w:ascii="仿宋_GB2312" w:hAnsi="仿宋_GB2312" w:cs="仿宋_GB2312" w:eastAsia="仿宋_GB2312"/>
          <w:sz w:val="24"/>
        </w:rPr>
        <w:t>14.2.5在签定采购合同之后，中标人要求解除合同的。</w:t>
      </w:r>
    </w:p>
    <w:p>
      <w:pPr>
        <w:pStyle w:val="null3"/>
        <w:spacing w:before="105" w:after="150"/>
        <w:ind w:firstLine="480"/>
        <w:jc w:val="left"/>
      </w:pPr>
      <w:r>
        <w:rPr>
          <w:rFonts w:ascii="仿宋_GB2312" w:hAnsi="仿宋_GB2312" w:cs="仿宋_GB2312" w:eastAsia="仿宋_GB2312"/>
          <w:sz w:val="24"/>
        </w:rPr>
        <w:t>13.3本合同所有服务，都必须由中标人自己或在投标文件中明确的单位承担，不得以任何名义和理由进行分包或转包。如有发现，视为中标人违约，采购人有权单方终止合同，对采购人造成损失的，需另行支付相应的赔偿。</w:t>
      </w:r>
    </w:p>
    <w:p>
      <w:pPr>
        <w:pStyle w:val="null3"/>
        <w:spacing w:before="105" w:after="150"/>
        <w:ind w:firstLine="480"/>
        <w:jc w:val="left"/>
      </w:pPr>
      <w:r>
        <w:rPr>
          <w:rFonts w:ascii="仿宋_GB2312" w:hAnsi="仿宋_GB2312" w:cs="仿宋_GB2312" w:eastAsia="仿宋_GB2312"/>
          <w:sz w:val="24"/>
        </w:rPr>
        <w:t>13.4中标人逾期完成任何一项服务内容达10日的，采购人有权委托第三方完成部分或全部工作，相关费用直接从采购人应向中标人支付的合同价款中予以扣除；同时，采购人有权选择解除合同，并要求中标人赔偿由此给采购人造成的一切损失。</w:t>
      </w:r>
    </w:p>
    <w:p>
      <w:pPr>
        <w:pStyle w:val="null3"/>
        <w:spacing w:before="105" w:after="150"/>
        <w:ind w:firstLine="480"/>
        <w:jc w:val="left"/>
      </w:pPr>
      <w:r>
        <w:rPr>
          <w:rFonts w:ascii="仿宋_GB2312" w:hAnsi="仿宋_GB2312" w:cs="仿宋_GB2312" w:eastAsia="仿宋_GB2312"/>
          <w:sz w:val="24"/>
        </w:rPr>
        <w:t>13.5因中标人原因发生重大质量事故，除依约承担赔偿责任外，还将按有关质量管理办法规定执行。同时，采购人有权保留更换中标人的权利，并报相关行政主管部门处罚。</w:t>
      </w:r>
    </w:p>
    <w:p>
      <w:pPr>
        <w:pStyle w:val="null3"/>
        <w:spacing w:before="105" w:after="150"/>
        <w:ind w:firstLine="480"/>
        <w:jc w:val="left"/>
      </w:pPr>
      <w:r>
        <w:rPr>
          <w:rFonts w:ascii="仿宋_GB2312" w:hAnsi="仿宋_GB2312" w:cs="仿宋_GB2312" w:eastAsia="仿宋_GB2312"/>
          <w:sz w:val="24"/>
        </w:rPr>
        <w:t>13.6若发生死亡安全事故，除按国家有关安全管理规定及采购人有关安全管理办法执行外，还将报相关行政主管部门处罚。发生重大安全事故或特大安全事故，除按国家有关安全管理规定及采购人有关安全管理办法执行外，采购人有权终止合同，给采购人造成的损失，还应承担赔偿责任。</w:t>
      </w:r>
    </w:p>
    <w:p>
      <w:pPr>
        <w:pStyle w:val="null3"/>
        <w:spacing w:before="105" w:after="150"/>
        <w:ind w:firstLine="480"/>
        <w:jc w:val="left"/>
      </w:pPr>
      <w:r>
        <w:rPr>
          <w:rFonts w:ascii="仿宋_GB2312" w:hAnsi="仿宋_GB2312" w:cs="仿宋_GB2312" w:eastAsia="仿宋_GB2312"/>
          <w:sz w:val="24"/>
        </w:rPr>
        <w:t>13.7在明确违约责任后，中标人应在接到书面通知书起七天内支付违约金、赔偿金等。</w:t>
      </w:r>
    </w:p>
    <w:p>
      <w:pPr>
        <w:pStyle w:val="null3"/>
        <w:spacing w:before="105" w:after="150"/>
        <w:ind w:firstLine="480"/>
        <w:jc w:val="left"/>
      </w:pPr>
      <w:r>
        <w:rPr>
          <w:rFonts w:ascii="仿宋_GB2312" w:hAnsi="仿宋_GB2312" w:cs="仿宋_GB2312" w:eastAsia="仿宋_GB2312"/>
          <w:sz w:val="24"/>
        </w:rPr>
        <w:t>★14、其他要求</w:t>
      </w:r>
    </w:p>
    <w:p>
      <w:pPr>
        <w:pStyle w:val="null3"/>
        <w:spacing w:before="105" w:after="150"/>
        <w:ind w:firstLine="480"/>
        <w:jc w:val="left"/>
      </w:pPr>
      <w:r>
        <w:rPr>
          <w:rFonts w:ascii="仿宋_GB2312" w:hAnsi="仿宋_GB2312" w:cs="仿宋_GB2312" w:eastAsia="仿宋_GB2312"/>
          <w:sz w:val="24"/>
        </w:rPr>
        <w:t>14.1配置软件需与我院医院软件适配，无偿开放接口，承担院内系统接口费用及硬件设备等。</w:t>
      </w:r>
    </w:p>
    <w:p>
      <w:pPr>
        <w:pStyle w:val="null3"/>
        <w:spacing w:before="105" w:after="150"/>
        <w:ind w:firstLine="480"/>
        <w:jc w:val="left"/>
      </w:pPr>
      <w:r>
        <w:rPr>
          <w:rFonts w:ascii="仿宋_GB2312" w:hAnsi="仿宋_GB2312" w:cs="仿宋_GB2312" w:eastAsia="仿宋_GB2312"/>
          <w:sz w:val="24"/>
        </w:rPr>
        <w:t>14.2配套电脑（品牌机）及打印机规格型号限“龙岩市第一医院电脑配置要求及常用合同内打印机目录”内。</w:t>
      </w:r>
    </w:p>
    <w:p>
      <w:pPr>
        <w:pStyle w:val="null3"/>
        <w:spacing w:before="75" w:after="75"/>
        <w:ind w:firstLine="480"/>
        <w:jc w:val="both"/>
      </w:pPr>
      <w:r>
        <w:rPr>
          <w:rFonts w:ascii="仿宋_GB2312" w:hAnsi="仿宋_GB2312" w:cs="仿宋_GB2312" w:eastAsia="仿宋_GB2312"/>
          <w:sz w:val="24"/>
          <w:b/>
          <w:shd w:fill="FFFFFF" w:val="clear"/>
        </w:rPr>
        <w:t>注：以上</w:t>
      </w:r>
      <w:r>
        <w:rPr>
          <w:rFonts w:ascii="仿宋_GB2312" w:hAnsi="仿宋_GB2312" w:cs="仿宋_GB2312" w:eastAsia="仿宋_GB2312"/>
          <w:sz w:val="24"/>
          <w:b/>
          <w:shd w:fill="FFFFFF" w:val="clear"/>
        </w:rPr>
        <w:t>“三、商务条件”均为不允许偏离的是实质性要求，若负偏离则按无效投标处理。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[350801]FJXW[GK]2025006-2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龙岩市第一医院无创产前基因测序仪及配套设备采购项目(三次)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1(无创产前基因测序仪及配套设备)</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无创产前基因测序仪及配套设备</w:t>
            </w:r>
          </w:p>
        </w:tc>
        <w:tc>
          <w:tcPr>
            <w:tcW w:type="dxa" w:w="1661"/>
          </w:tcPr>
          <w:p>
            <w:pPr>
              <w:pStyle w:val="null3"/>
              <w:jc w:val="left"/>
            </w:pPr>
            <w:r>
              <w:rPr>
                <w:rFonts w:ascii="仿宋_GB2312" w:hAnsi="仿宋_GB2312" w:cs="仿宋_GB2312" w:eastAsia="仿宋_GB2312"/>
              </w:rPr>
              <w:t xml:space="preserve"> 437200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[350801]FJXW[GK]2025006-2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龙岩市第一医院无创产前基因测序仪及配套设备采购项目(三次)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无创产前基因测序仪及配套设备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无创产前基因测序仪及配套设备</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无创产前基因测序仪及配套设备</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437200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